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29" w:rsidRPr="00461429" w:rsidRDefault="00461429" w:rsidP="00461429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461429">
        <w:rPr>
          <w:rFonts w:ascii="標楷體" w:eastAsia="標楷體" w:hAnsi="標楷體" w:hint="eastAsia"/>
          <w:b/>
          <w:sz w:val="28"/>
          <w:szCs w:val="28"/>
        </w:rPr>
        <w:t>附表</w:t>
      </w:r>
    </w:p>
    <w:bookmarkEnd w:id="0"/>
    <w:p w:rsidR="00461429" w:rsidRDefault="00461429" w:rsidP="00461429">
      <w:pPr>
        <w:rPr>
          <w:rFonts w:ascii="標楷體" w:eastAsia="標楷體" w:hAnsi="標楷體" w:hint="eastAsia"/>
        </w:rPr>
      </w:pPr>
    </w:p>
    <w:p w:rsidR="00461429" w:rsidRDefault="00461429" w:rsidP="00461429">
      <w:pPr>
        <w:ind w:firstLineChars="550" w:firstLine="13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2012年10月置入性行銷類別統計表（附表一）</w:t>
      </w:r>
    </w:p>
    <w:tbl>
      <w:tblPr>
        <w:tblW w:w="4699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97"/>
        <w:gridCol w:w="769"/>
        <w:gridCol w:w="811"/>
        <w:gridCol w:w="811"/>
        <w:gridCol w:w="811"/>
      </w:tblGrid>
      <w:tr w:rsidR="00461429" w:rsidTr="00BD090B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-2540</wp:posOffset>
                      </wp:positionV>
                      <wp:extent cx="990600" cy="914400"/>
                      <wp:effectExtent l="8890" t="8255" r="10160" b="1079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-.2pt" to="70.7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"/>
                  </w:pict>
                </mc:Fallback>
              </mc:AlternateContent>
            </w:r>
          </w:p>
          <w:p w:rsidR="00461429" w:rsidRDefault="00461429" w:rsidP="00BD090B">
            <w:pPr>
              <w:ind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則數</w:t>
            </w:r>
          </w:p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註明政府機構者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未註明政府機構者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置入性行銷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中國廣告</w:t>
            </w:r>
          </w:p>
        </w:tc>
      </w:tr>
      <w:tr w:rsidR="00461429" w:rsidTr="00BD090B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61429" w:rsidTr="00BD090B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461429" w:rsidTr="00BD090B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61429" w:rsidTr="00BD090B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61429" w:rsidTr="00BD090B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61429" w:rsidTr="00BD090B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</w:tbl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.未註明政府機構者，係指未符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條文」規定者；置入性行銷，則是將政府廣告性質改以新聞編寫方式表現，亦未符「預算法第62條之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兩者均以</w:t>
      </w:r>
      <w:proofErr w:type="gramEnd"/>
      <w:r>
        <w:rPr>
          <w:rFonts w:ascii="標楷體" w:eastAsia="標楷體" w:hAnsi="標楷體" w:hint="eastAsia"/>
        </w:rPr>
        <w:t>「置入性行銷」計算。</w:t>
      </w:r>
    </w:p>
    <w:p w:rsidR="00461429" w:rsidRDefault="00461429" w:rsidP="00461429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二.各主要報紙的「烏龍新聞」評比中，也把未註明政府機構者、置入性行銷、中國廣告，列為「烏龍」計算。</w:t>
      </w:r>
    </w:p>
    <w:p w:rsidR="00461429" w:rsidRDefault="00461429" w:rsidP="00461429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hint="eastAsia"/>
        </w:rPr>
        <w:t>三.類此置入性行銷和中國廣告等刊登行為，若依新聞正確編寫規範、</w:t>
      </w:r>
      <w:r>
        <w:rPr>
          <w:rFonts w:ascii="標楷體" w:eastAsia="標楷體" w:hAnsi="標楷體" w:cs="ArialUnicodeMS" w:hint="eastAsia"/>
          <w:kern w:val="0"/>
        </w:rPr>
        <w:t>「預</w:t>
      </w:r>
    </w:p>
    <w:p w:rsidR="00461429" w:rsidRPr="00EA234C" w:rsidRDefault="00461429" w:rsidP="00461429">
      <w:pPr>
        <w:autoSpaceDE w:val="0"/>
        <w:autoSpaceDN w:val="0"/>
        <w:adjustRightInd w:val="0"/>
        <w:ind w:leftChars="450" w:left="108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cs="ArialUnicodeMS" w:hint="eastAsia"/>
          <w:kern w:val="0"/>
        </w:rPr>
        <w:t>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條文」規定及符合兩岸相關法規者，不列入計算。</w:t>
      </w: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cs="ArialUnicodeMS" w:hint="eastAsia"/>
          <w:kern w:val="0"/>
        </w:rPr>
        <w:t>「預算法增訂第62條之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</w:t>
      </w:r>
      <w:smartTag w:uri="urn:schemas-microsoft-com:office:smarttags" w:element="chsdate">
        <w:smartTagPr>
          <w:attr w:name="Year" w:val="2011"/>
          <w:attr w:name="Month" w:val="1"/>
          <w:attr w:name="Day" w:val="26"/>
          <w:attr w:name="IsLunarDate" w:val="False"/>
          <w:attr w:name="IsROCDate" w:val="True"/>
        </w:smartTagPr>
        <w:r>
          <w:rPr>
            <w:rFonts w:ascii="標楷體" w:eastAsia="標楷體" w:hAnsi="標楷體" w:cs="ArialUnicodeMS" w:hint="eastAsia"/>
            <w:kern w:val="0"/>
          </w:rPr>
          <w:t>中華民國</w:t>
        </w:r>
        <w:r>
          <w:rPr>
            <w:rFonts w:ascii="標楷體" w:eastAsia="標楷體" w:hAnsi="標楷體" w:hint="eastAsia"/>
            <w:kern w:val="0"/>
          </w:rPr>
          <w:t>100</w:t>
        </w:r>
        <w:r>
          <w:rPr>
            <w:rFonts w:ascii="標楷體" w:eastAsia="標楷體" w:hAnsi="標楷體" w:cs="ArialUnicodeMS" w:hint="eastAsia"/>
            <w:kern w:val="0"/>
          </w:rPr>
          <w:t>年</w:t>
        </w:r>
        <w:r>
          <w:rPr>
            <w:rFonts w:ascii="標楷體" w:eastAsia="標楷體" w:hAnsi="標楷體" w:hint="eastAsia"/>
            <w:kern w:val="0"/>
          </w:rPr>
          <w:t>1</w:t>
        </w:r>
        <w:r>
          <w:rPr>
            <w:rFonts w:ascii="標楷體" w:eastAsia="標楷體" w:hAnsi="標楷體" w:cs="ArialUnicodeMS" w:hint="eastAsia"/>
            <w:kern w:val="0"/>
          </w:rPr>
          <w:t>月</w:t>
        </w:r>
        <w:r>
          <w:rPr>
            <w:rFonts w:ascii="標楷體" w:eastAsia="標楷體" w:hAnsi="標楷體" w:hint="eastAsia"/>
            <w:kern w:val="0"/>
          </w:rPr>
          <w:t>26</w:t>
        </w:r>
        <w:r>
          <w:rPr>
            <w:rFonts w:ascii="標楷體" w:eastAsia="標楷體" w:hAnsi="標楷體" w:cs="ArialUnicodeMS" w:hint="eastAsia"/>
            <w:kern w:val="0"/>
          </w:rPr>
          <w:t>日</w:t>
        </w:r>
      </w:smartTag>
      <w:r>
        <w:rPr>
          <w:rFonts w:ascii="標楷體" w:eastAsia="標楷體" w:hAnsi="標楷體" w:cs="ArialUnicodeMS" w:hint="eastAsia"/>
          <w:kern w:val="0"/>
        </w:rPr>
        <w:t>華總</w:t>
      </w:r>
      <w:proofErr w:type="gramStart"/>
      <w:r>
        <w:rPr>
          <w:rFonts w:ascii="標楷體" w:eastAsia="標楷體" w:hAnsi="標楷體" w:cs="ArialUnicodeMS" w:hint="eastAsia"/>
          <w:kern w:val="0"/>
        </w:rPr>
        <w:t>一義字第</w:t>
      </w:r>
      <w:r>
        <w:rPr>
          <w:rFonts w:ascii="標楷體" w:eastAsia="標楷體" w:hAnsi="標楷體" w:hint="eastAsia"/>
          <w:kern w:val="0"/>
        </w:rPr>
        <w:t>10000016621</w:t>
      </w:r>
      <w:proofErr w:type="gramEnd"/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cs="ArialUnicodeMS" w:hint="eastAsia"/>
          <w:kern w:val="0"/>
        </w:rPr>
        <w:t>號   基於行政中立、維護新聞自由及人民權益，政府各機關暨公營事業、政府捐助基金50％以上成立之財團法人及政府轉投資資本50％以上事業，編列預算辦理政策宣導，應明確標示其為廣告且揭示辦理或贊助機關、單位名稱，並不得以置入性行銷方式進行。</w:t>
      </w: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Pr="00563486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Pr="000C6A9B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ind w:firstLineChars="800" w:firstLine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2012年10月烏龍新聞統計表（附表二）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13（含中國廣告11）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含中國廣告5</w:t>
            </w:r>
          </w:p>
          <w:p w:rsidR="00461429" w:rsidRDefault="00461429" w:rsidP="00BD090B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未註明政府機者2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含中國廣告2未註明政府機者</w:t>
            </w:r>
          </w:p>
          <w:p w:rsidR="00461429" w:rsidRDefault="00461429" w:rsidP="00BD090B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61429" w:rsidTr="00BD090B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61429" w:rsidTr="00BD090B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28（含中國廣告18、未註明政府機構者3）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9" w:rsidRDefault="00461429" w:rsidP="00BD090B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461429" w:rsidRDefault="00461429" w:rsidP="00461429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hint="eastAsia"/>
        </w:rPr>
        <w:t>※10月各主要報紙違反新聞倫理道德規範的示意圖和照片，依序為：自由時報22則（含自殺19則）、蘋果日報18則（含自殺14則）、中國時報14則（含自殺12則）、聯合報8則（含自殺8則）、聯合晚報則無。合計62則（含自殺53則）。</w:t>
      </w:r>
    </w:p>
    <w:p w:rsidR="00E323B0" w:rsidRDefault="00461429"/>
    <w:sectPr w:rsidR="00E32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29"/>
    <w:rsid w:val="00437EE8"/>
    <w:rsid w:val="00461429"/>
    <w:rsid w:val="00D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2012-12-06T06:52:00Z</dcterms:created>
  <dcterms:modified xsi:type="dcterms:W3CDTF">2012-12-06T06:53:00Z</dcterms:modified>
</cp:coreProperties>
</file>