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A4" w:rsidRPr="00AC2EE1" w:rsidRDefault="00D81EA4" w:rsidP="00D81EA4">
      <w:pPr>
        <w:ind w:firstLineChars="700" w:firstLine="1680"/>
        <w:rPr>
          <w:rFonts w:ascii="標楷體" w:eastAsia="標楷體" w:hAnsi="標楷體" w:hint="eastAsia"/>
        </w:rPr>
      </w:pPr>
      <w:r w:rsidRPr="00AC2EE1">
        <w:rPr>
          <w:rFonts w:ascii="標楷體" w:eastAsia="標楷體" w:hAnsi="標楷體" w:hint="eastAsia"/>
        </w:rPr>
        <w:t>2012年二月置入性行銷類別統計表（附表1）</w:t>
      </w:r>
    </w:p>
    <w:tbl>
      <w:tblPr>
        <w:tblW w:w="5510" w:type="dxa"/>
        <w:tblInd w:w="1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497"/>
        <w:gridCol w:w="769"/>
        <w:gridCol w:w="811"/>
        <w:gridCol w:w="811"/>
        <w:gridCol w:w="811"/>
        <w:gridCol w:w="811"/>
      </w:tblGrid>
      <w:tr w:rsidR="00D81EA4" w:rsidRPr="00AC2EE1" w:rsidTr="00CE1ACD">
        <w:tc>
          <w:tcPr>
            <w:tcW w:w="1497" w:type="dxa"/>
          </w:tcPr>
          <w:p w:rsidR="00D81EA4" w:rsidRPr="00AC2EE1" w:rsidRDefault="00D81EA4" w:rsidP="00CE1ACD">
            <w:pPr>
              <w:ind w:firstLineChars="350" w:firstLine="840"/>
              <w:rPr>
                <w:rFonts w:ascii="標楷體" w:eastAsia="標楷體" w:hAnsi="標楷體" w:hint="eastAsia"/>
              </w:rPr>
            </w:pPr>
            <w:r w:rsidRPr="00AC2EE1">
              <w:rPr>
                <w:rFonts w:ascii="標楷體" w:eastAsia="標楷體" w:hAnsi="標楷體" w:hint="eastAsia"/>
                <w:noProof/>
              </w:rPr>
              <w:pict>
                <v:line id="_x0000_s1026" style="position:absolute;left:0;text-align:left;z-index:251660288" from="-7.3pt,-.2pt" to="70.7pt,71.8pt"/>
              </w:pict>
            </w:r>
          </w:p>
          <w:p w:rsidR="00D81EA4" w:rsidRPr="00AC2EE1" w:rsidRDefault="00D81EA4" w:rsidP="00CE1ACD">
            <w:pPr>
              <w:ind w:firstLineChars="350" w:firstLine="840"/>
              <w:rPr>
                <w:rFonts w:ascii="標楷體" w:eastAsia="標楷體" w:hAnsi="標楷體" w:hint="eastAsia"/>
              </w:rPr>
            </w:pPr>
            <w:r w:rsidRPr="00AC2EE1">
              <w:rPr>
                <w:rFonts w:ascii="標楷體" w:eastAsia="標楷體" w:hAnsi="標楷體" w:hint="eastAsia"/>
              </w:rPr>
              <w:t>則數</w:t>
            </w:r>
          </w:p>
          <w:p w:rsidR="00D81EA4" w:rsidRPr="00AC2EE1" w:rsidRDefault="00D81EA4" w:rsidP="00CE1ACD">
            <w:pPr>
              <w:rPr>
                <w:rFonts w:ascii="標楷體" w:eastAsia="標楷體" w:hAnsi="標楷體" w:hint="eastAsia"/>
              </w:rPr>
            </w:pPr>
            <w:r w:rsidRPr="00AC2EE1">
              <w:rPr>
                <w:rFonts w:ascii="標楷體" w:eastAsia="標楷體" w:hAnsi="標楷體" w:hint="eastAsia"/>
              </w:rPr>
              <w:t>報名</w:t>
            </w:r>
          </w:p>
        </w:tc>
        <w:tc>
          <w:tcPr>
            <w:tcW w:w="769"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註明政府機構者</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未註明政府機構者</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置入性行銷</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中國廣告</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備註參見附註說明</w:t>
            </w:r>
          </w:p>
        </w:tc>
      </w:tr>
      <w:tr w:rsidR="00D81EA4" w:rsidRPr="00AC2EE1" w:rsidTr="00CE1ACD">
        <w:tc>
          <w:tcPr>
            <w:tcW w:w="1497"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聯合晚報</w:t>
            </w:r>
          </w:p>
        </w:tc>
        <w:tc>
          <w:tcPr>
            <w:tcW w:w="769"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25</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0</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0</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1</w:t>
            </w:r>
          </w:p>
        </w:tc>
        <w:tc>
          <w:tcPr>
            <w:tcW w:w="811" w:type="dxa"/>
          </w:tcPr>
          <w:p w:rsidR="00D81EA4" w:rsidRPr="00AC2EE1" w:rsidRDefault="00D81EA4" w:rsidP="00CE1ACD">
            <w:pPr>
              <w:rPr>
                <w:rFonts w:ascii="標楷體" w:eastAsia="標楷體" w:hAnsi="標楷體" w:hint="eastAsia"/>
              </w:rPr>
            </w:pPr>
          </w:p>
        </w:tc>
      </w:tr>
      <w:tr w:rsidR="00D81EA4" w:rsidRPr="00AC2EE1" w:rsidTr="00CE1ACD">
        <w:tc>
          <w:tcPr>
            <w:tcW w:w="1497"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聯合報</w:t>
            </w:r>
          </w:p>
        </w:tc>
        <w:tc>
          <w:tcPr>
            <w:tcW w:w="769"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21</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0</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0</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0</w:t>
            </w:r>
          </w:p>
        </w:tc>
        <w:tc>
          <w:tcPr>
            <w:tcW w:w="811" w:type="dxa"/>
          </w:tcPr>
          <w:p w:rsidR="00D81EA4" w:rsidRPr="00AC2EE1" w:rsidRDefault="00D81EA4" w:rsidP="00CE1ACD">
            <w:pPr>
              <w:rPr>
                <w:rFonts w:ascii="標楷體" w:eastAsia="標楷體" w:hAnsi="標楷體" w:hint="eastAsia"/>
              </w:rPr>
            </w:pPr>
          </w:p>
        </w:tc>
      </w:tr>
      <w:tr w:rsidR="00D81EA4" w:rsidRPr="00AC2EE1" w:rsidTr="00CE1ACD">
        <w:tc>
          <w:tcPr>
            <w:tcW w:w="1497"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蘋果日報</w:t>
            </w:r>
          </w:p>
        </w:tc>
        <w:tc>
          <w:tcPr>
            <w:tcW w:w="769"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14</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0</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0</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0</w:t>
            </w:r>
          </w:p>
        </w:tc>
        <w:tc>
          <w:tcPr>
            <w:tcW w:w="811" w:type="dxa"/>
          </w:tcPr>
          <w:p w:rsidR="00D81EA4" w:rsidRPr="00AC2EE1" w:rsidRDefault="00D81EA4" w:rsidP="00CE1ACD">
            <w:pPr>
              <w:rPr>
                <w:rFonts w:ascii="標楷體" w:eastAsia="標楷體" w:hAnsi="標楷體" w:hint="eastAsia"/>
              </w:rPr>
            </w:pPr>
          </w:p>
        </w:tc>
      </w:tr>
      <w:tr w:rsidR="00D81EA4" w:rsidRPr="00AC2EE1" w:rsidTr="00CE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7"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中國時報</w:t>
            </w:r>
          </w:p>
        </w:tc>
        <w:tc>
          <w:tcPr>
            <w:tcW w:w="769"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10</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3</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0</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4</w:t>
            </w:r>
          </w:p>
        </w:tc>
        <w:tc>
          <w:tcPr>
            <w:tcW w:w="811" w:type="dxa"/>
          </w:tcPr>
          <w:p w:rsidR="00D81EA4" w:rsidRPr="00AC2EE1" w:rsidRDefault="00D81EA4" w:rsidP="00CE1ACD">
            <w:pPr>
              <w:rPr>
                <w:rFonts w:ascii="標楷體" w:eastAsia="標楷體" w:hAnsi="標楷體" w:hint="eastAsia"/>
              </w:rPr>
            </w:pPr>
          </w:p>
        </w:tc>
      </w:tr>
      <w:tr w:rsidR="00D81EA4" w:rsidRPr="00AC2EE1" w:rsidTr="00CE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7"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自由時報</w:t>
            </w:r>
          </w:p>
        </w:tc>
        <w:tc>
          <w:tcPr>
            <w:tcW w:w="769" w:type="dxa"/>
          </w:tcPr>
          <w:p w:rsidR="00D81EA4" w:rsidRPr="00AC2EE1" w:rsidRDefault="00D81EA4" w:rsidP="00CE1ACD">
            <w:pPr>
              <w:ind w:firstLineChars="50" w:firstLine="120"/>
              <w:rPr>
                <w:rFonts w:ascii="標楷體" w:eastAsia="標楷體" w:hAnsi="標楷體" w:hint="eastAsia"/>
              </w:rPr>
            </w:pPr>
            <w:r w:rsidRPr="00AC2EE1">
              <w:rPr>
                <w:rFonts w:ascii="標楷體" w:eastAsia="標楷體" w:hAnsi="標楷體" w:hint="eastAsia"/>
              </w:rPr>
              <w:t>9</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0</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0</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0</w:t>
            </w:r>
          </w:p>
        </w:tc>
        <w:tc>
          <w:tcPr>
            <w:tcW w:w="811" w:type="dxa"/>
          </w:tcPr>
          <w:p w:rsidR="00D81EA4" w:rsidRPr="00AC2EE1" w:rsidRDefault="00D81EA4" w:rsidP="00CE1ACD">
            <w:pPr>
              <w:rPr>
                <w:rFonts w:ascii="標楷體" w:eastAsia="標楷體" w:hAnsi="標楷體" w:hint="eastAsia"/>
              </w:rPr>
            </w:pPr>
          </w:p>
        </w:tc>
      </w:tr>
      <w:tr w:rsidR="00D81EA4" w:rsidRPr="00AC2EE1" w:rsidTr="00CE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7"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合計</w:t>
            </w:r>
          </w:p>
        </w:tc>
        <w:tc>
          <w:tcPr>
            <w:tcW w:w="769"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79</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3</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0</w:t>
            </w:r>
          </w:p>
        </w:tc>
        <w:tc>
          <w:tcPr>
            <w:tcW w:w="811"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5</w:t>
            </w:r>
          </w:p>
        </w:tc>
        <w:tc>
          <w:tcPr>
            <w:tcW w:w="811" w:type="dxa"/>
          </w:tcPr>
          <w:p w:rsidR="00D81EA4" w:rsidRPr="00AC2EE1" w:rsidRDefault="00D81EA4" w:rsidP="00CE1ACD">
            <w:pPr>
              <w:rPr>
                <w:rFonts w:ascii="標楷體" w:eastAsia="標楷體" w:hAnsi="標楷體" w:hint="eastAsia"/>
              </w:rPr>
            </w:pPr>
          </w:p>
        </w:tc>
      </w:tr>
    </w:tbl>
    <w:p w:rsidR="00D81EA4" w:rsidRDefault="00D81EA4" w:rsidP="00D81EA4">
      <w:pPr>
        <w:rPr>
          <w:rFonts w:ascii="標楷體" w:eastAsia="標楷體" w:hAnsi="標楷體" w:hint="eastAsia"/>
        </w:rPr>
      </w:pPr>
    </w:p>
    <w:p w:rsidR="00D81EA4" w:rsidRDefault="00D81EA4" w:rsidP="00D81EA4">
      <w:pPr>
        <w:rPr>
          <w:rFonts w:ascii="標楷體" w:eastAsia="標楷體" w:hAnsi="標楷體" w:hint="eastAsia"/>
        </w:rPr>
      </w:pPr>
    </w:p>
    <w:p w:rsidR="00D81EA4" w:rsidRDefault="00D81EA4" w:rsidP="00D81EA4">
      <w:pPr>
        <w:rPr>
          <w:rFonts w:ascii="標楷體" w:eastAsia="標楷體" w:hAnsi="標楷體" w:hint="eastAsia"/>
        </w:rPr>
      </w:pPr>
    </w:p>
    <w:p w:rsidR="00D81EA4" w:rsidRDefault="00D81EA4" w:rsidP="00D81EA4">
      <w:pPr>
        <w:rPr>
          <w:rFonts w:ascii="標楷體" w:eastAsia="標楷體" w:hAnsi="標楷體" w:hint="eastAsia"/>
        </w:rPr>
      </w:pPr>
    </w:p>
    <w:p w:rsidR="00D81EA4" w:rsidRPr="00AC2EE1" w:rsidRDefault="00D81EA4" w:rsidP="00D81EA4">
      <w:pPr>
        <w:rPr>
          <w:rFonts w:ascii="標楷體" w:eastAsia="標楷體" w:hAnsi="標楷體" w:hint="eastAsia"/>
        </w:rPr>
      </w:pPr>
    </w:p>
    <w:p w:rsidR="00D81EA4" w:rsidRPr="00AC2EE1" w:rsidRDefault="00D81EA4" w:rsidP="00D81EA4">
      <w:pPr>
        <w:autoSpaceDE w:val="0"/>
        <w:autoSpaceDN w:val="0"/>
        <w:adjustRightInd w:val="0"/>
        <w:ind w:left="1080" w:hangingChars="450" w:hanging="1080"/>
        <w:rPr>
          <w:rFonts w:ascii="標楷體" w:eastAsia="標楷體" w:hAnsi="標楷體" w:hint="eastAsia"/>
        </w:rPr>
      </w:pPr>
      <w:r w:rsidRPr="00AC2EE1">
        <w:rPr>
          <w:rFonts w:ascii="標楷體" w:eastAsia="標楷體" w:hAnsi="標楷體" w:hint="eastAsia"/>
        </w:rPr>
        <w:t>附註：</w:t>
      </w:r>
      <w:proofErr w:type="gramStart"/>
      <w:r w:rsidRPr="00AC2EE1">
        <w:rPr>
          <w:rFonts w:ascii="標楷體" w:eastAsia="標楷體" w:hAnsi="標楷體" w:hint="eastAsia"/>
        </w:rPr>
        <w:t>一</w:t>
      </w:r>
      <w:proofErr w:type="gramEnd"/>
      <w:r w:rsidRPr="00AC2EE1">
        <w:rPr>
          <w:rFonts w:ascii="標楷體" w:eastAsia="標楷體" w:hAnsi="標楷體" w:hint="eastAsia"/>
        </w:rPr>
        <w:t>.未註明政府機構者，係指未符</w:t>
      </w:r>
      <w:r w:rsidRPr="00AC2EE1">
        <w:rPr>
          <w:rFonts w:ascii="標楷體" w:eastAsia="標楷體" w:hAnsi="標楷體" w:cs="ArialUnicodeMS" w:hint="eastAsia"/>
          <w:kern w:val="0"/>
        </w:rPr>
        <w:t>「預算法第六十二條之</w:t>
      </w:r>
      <w:proofErr w:type="gramStart"/>
      <w:r w:rsidRPr="00AC2EE1">
        <w:rPr>
          <w:rFonts w:ascii="標楷體" w:eastAsia="標楷體" w:hAnsi="標楷體" w:cs="ArialUnicodeMS" w:hint="eastAsia"/>
          <w:kern w:val="0"/>
        </w:rPr>
        <w:t>一</w:t>
      </w:r>
      <w:proofErr w:type="gramEnd"/>
      <w:r w:rsidRPr="00AC2EE1">
        <w:rPr>
          <w:rFonts w:ascii="標楷體" w:eastAsia="標楷體" w:hAnsi="標楷體" w:cs="ArialUnicodeMS" w:hint="eastAsia"/>
          <w:kern w:val="0"/>
        </w:rPr>
        <w:t>條文」規定者；置入性行銷，則是將政府廣告性質改以新聞編寫方式表現，亦未符「預算法第六十二條之</w:t>
      </w:r>
      <w:proofErr w:type="gramStart"/>
      <w:r w:rsidRPr="00AC2EE1">
        <w:rPr>
          <w:rFonts w:ascii="標楷體" w:eastAsia="標楷體" w:hAnsi="標楷體" w:cs="ArialUnicodeMS" w:hint="eastAsia"/>
          <w:kern w:val="0"/>
        </w:rPr>
        <w:t>一</w:t>
      </w:r>
      <w:proofErr w:type="gramEnd"/>
      <w:r w:rsidRPr="00AC2EE1">
        <w:rPr>
          <w:rFonts w:ascii="標楷體" w:eastAsia="標楷體" w:hAnsi="標楷體" w:cs="ArialUnicodeMS" w:hint="eastAsia"/>
          <w:kern w:val="0"/>
        </w:rPr>
        <w:t>條文」規定者</w:t>
      </w:r>
      <w:r w:rsidRPr="00AC2EE1">
        <w:rPr>
          <w:rFonts w:ascii="標楷體" w:eastAsia="標楷體" w:hAnsi="標楷體" w:hint="eastAsia"/>
        </w:rPr>
        <w:t>。</w:t>
      </w:r>
      <w:proofErr w:type="gramStart"/>
      <w:r w:rsidRPr="00AC2EE1">
        <w:rPr>
          <w:rFonts w:ascii="標楷體" w:eastAsia="標楷體" w:hAnsi="標楷體" w:hint="eastAsia"/>
        </w:rPr>
        <w:t>（</w:t>
      </w:r>
      <w:proofErr w:type="gramEnd"/>
      <w:r w:rsidRPr="00AC2EE1">
        <w:rPr>
          <w:rFonts w:ascii="標楷體" w:eastAsia="標楷體" w:hAnsi="標楷體" w:hint="eastAsia"/>
        </w:rPr>
        <w:t>例如</w:t>
      </w:r>
      <w:smartTag w:uri="urn:schemas-microsoft-com:office:smarttags" w:element="chsdate">
        <w:smartTagPr>
          <w:attr w:name="IsROCDate" w:val="False"/>
          <w:attr w:name="IsLunarDate" w:val="False"/>
          <w:attr w:name="Day" w:val="6"/>
          <w:attr w:name="Month" w:val="6"/>
          <w:attr w:name="Year" w:val="2011"/>
        </w:smartTagPr>
        <w:r w:rsidRPr="00AC2EE1">
          <w:rPr>
            <w:rFonts w:ascii="標楷體" w:eastAsia="標楷體" w:hAnsi="標楷體" w:hint="eastAsia"/>
          </w:rPr>
          <w:t>6月6日</w:t>
        </w:r>
      </w:smartTag>
      <w:r w:rsidRPr="00AC2EE1">
        <w:rPr>
          <w:rFonts w:ascii="標楷體" w:eastAsia="標楷體" w:hAnsi="標楷體" w:hint="eastAsia"/>
        </w:rPr>
        <w:t>「桃園河川中心動土」，聯合報</w:t>
      </w:r>
      <w:r w:rsidRPr="00AC2EE1">
        <w:rPr>
          <w:rFonts w:ascii="標楷體" w:eastAsia="標楷體" w:hAnsi="標楷體" w:hint="eastAsia"/>
          <w:bCs/>
        </w:rPr>
        <w:t>在A11版</w:t>
      </w:r>
      <w:r w:rsidRPr="00AC2EE1">
        <w:rPr>
          <w:rFonts w:ascii="標楷體" w:eastAsia="標楷體" w:hAnsi="標楷體" w:hint="eastAsia"/>
        </w:rPr>
        <w:t>註明「桃園縣政府廣編」。中國時報則在</w:t>
      </w:r>
      <w:r w:rsidRPr="00AC2EE1">
        <w:rPr>
          <w:rFonts w:ascii="標楷體" w:eastAsia="標楷體" w:hAnsi="標楷體" w:hint="eastAsia"/>
          <w:bCs/>
        </w:rPr>
        <w:t>A5版</w:t>
      </w:r>
      <w:proofErr w:type="gramStart"/>
      <w:r w:rsidRPr="00AC2EE1">
        <w:rPr>
          <w:rFonts w:ascii="標楷體" w:eastAsia="標楷體" w:hAnsi="標楷體" w:hint="eastAsia"/>
        </w:rPr>
        <w:t>採</w:t>
      </w:r>
      <w:proofErr w:type="gramEnd"/>
      <w:r w:rsidRPr="00AC2EE1">
        <w:rPr>
          <w:rFonts w:ascii="標楷體" w:eastAsia="標楷體" w:hAnsi="標楷體" w:hint="eastAsia"/>
        </w:rPr>
        <w:t>「新聞」編寫方式處理，就有「置入性行銷」之嫌。）</w:t>
      </w:r>
      <w:proofErr w:type="gramStart"/>
      <w:r w:rsidRPr="00AC2EE1">
        <w:rPr>
          <w:rFonts w:ascii="標楷體" w:eastAsia="標楷體" w:hAnsi="標楷體" w:hint="eastAsia"/>
        </w:rPr>
        <w:t>兩者均以</w:t>
      </w:r>
      <w:proofErr w:type="gramEnd"/>
      <w:r w:rsidRPr="00AC2EE1">
        <w:rPr>
          <w:rFonts w:ascii="標楷體" w:eastAsia="標楷體" w:hAnsi="標楷體" w:hint="eastAsia"/>
        </w:rPr>
        <w:t>「置入性行銷」計算，視同「烏龍新聞」。</w:t>
      </w:r>
    </w:p>
    <w:p w:rsidR="00D81EA4" w:rsidRPr="00AC2EE1" w:rsidRDefault="00D81EA4" w:rsidP="00D81EA4">
      <w:pPr>
        <w:autoSpaceDE w:val="0"/>
        <w:autoSpaceDN w:val="0"/>
        <w:adjustRightInd w:val="0"/>
        <w:ind w:leftChars="322" w:left="1013" w:hangingChars="100" w:hanging="240"/>
        <w:rPr>
          <w:rFonts w:ascii="標楷體" w:eastAsia="標楷體" w:hAnsi="標楷體" w:hint="eastAsia"/>
        </w:rPr>
      </w:pPr>
      <w:r w:rsidRPr="00AC2EE1">
        <w:rPr>
          <w:rFonts w:ascii="標楷體" w:eastAsia="標楷體" w:hAnsi="標楷體" w:hint="eastAsia"/>
        </w:rPr>
        <w:t>二.未註明政府機構、置入性新聞、中國廣告等均列入「置入」計算（參見每月「烏龍新聞實錄」）。</w:t>
      </w:r>
    </w:p>
    <w:p w:rsidR="00D81EA4" w:rsidRPr="00AC2EE1" w:rsidRDefault="00D81EA4" w:rsidP="00D81EA4">
      <w:pPr>
        <w:autoSpaceDE w:val="0"/>
        <w:autoSpaceDN w:val="0"/>
        <w:adjustRightInd w:val="0"/>
        <w:ind w:leftChars="322" w:left="1133" w:hangingChars="150" w:hanging="360"/>
        <w:rPr>
          <w:rFonts w:ascii="標楷體" w:eastAsia="標楷體" w:hAnsi="標楷體" w:cs="ArialUnicodeMS" w:hint="eastAsia"/>
          <w:kern w:val="0"/>
        </w:rPr>
      </w:pPr>
      <w:r w:rsidRPr="00AC2EE1">
        <w:rPr>
          <w:rFonts w:ascii="標楷體" w:eastAsia="標楷體" w:hAnsi="標楷體" w:hint="eastAsia"/>
        </w:rPr>
        <w:t>三.類此「置入性行銷」和「中國廣告」刊登行為，若依新聞正確編寫規範、</w:t>
      </w:r>
      <w:r w:rsidRPr="00AC2EE1">
        <w:rPr>
          <w:rFonts w:ascii="標楷體" w:eastAsia="標楷體" w:hAnsi="標楷體" w:cs="ArialUnicodeMS" w:hint="eastAsia"/>
          <w:kern w:val="0"/>
        </w:rPr>
        <w:t>「預算法第六十二條之</w:t>
      </w:r>
      <w:proofErr w:type="gramStart"/>
      <w:r w:rsidRPr="00AC2EE1">
        <w:rPr>
          <w:rFonts w:ascii="標楷體" w:eastAsia="標楷體" w:hAnsi="標楷體" w:cs="ArialUnicodeMS" w:hint="eastAsia"/>
          <w:kern w:val="0"/>
        </w:rPr>
        <w:t>一</w:t>
      </w:r>
      <w:proofErr w:type="gramEnd"/>
      <w:r w:rsidRPr="00AC2EE1">
        <w:rPr>
          <w:rFonts w:ascii="標楷體" w:eastAsia="標楷體" w:hAnsi="標楷體" w:cs="ArialUnicodeMS" w:hint="eastAsia"/>
          <w:kern w:val="0"/>
        </w:rPr>
        <w:t>條文」規定及符合兩岸相關法規後，將不再列入計算。</w:t>
      </w:r>
    </w:p>
    <w:p w:rsidR="00D81EA4" w:rsidRPr="00AC2EE1" w:rsidRDefault="00D81EA4" w:rsidP="00D81EA4">
      <w:pPr>
        <w:autoSpaceDE w:val="0"/>
        <w:autoSpaceDN w:val="0"/>
        <w:adjustRightInd w:val="0"/>
        <w:rPr>
          <w:rFonts w:ascii="標楷體" w:eastAsia="標楷體" w:hAnsi="標楷體" w:cs="ArialUnicodeMS" w:hint="eastAsia"/>
          <w:b/>
          <w:kern w:val="0"/>
        </w:rPr>
      </w:pPr>
      <w:r w:rsidRPr="00AC2EE1">
        <w:rPr>
          <w:rFonts w:ascii="標楷體" w:eastAsia="標楷體" w:hAnsi="標楷體" w:hint="eastAsia"/>
        </w:rPr>
        <w:t>●</w:t>
      </w:r>
      <w:r w:rsidRPr="00AC2EE1">
        <w:rPr>
          <w:rFonts w:ascii="標楷體" w:eastAsia="標楷體" w:hAnsi="標楷體" w:cs="ArialUnicodeMS" w:hint="eastAsia"/>
          <w:b/>
          <w:kern w:val="0"/>
        </w:rPr>
        <w:t>「預算法增訂第六十二條之</w:t>
      </w:r>
      <w:proofErr w:type="gramStart"/>
      <w:r w:rsidRPr="00AC2EE1">
        <w:rPr>
          <w:rFonts w:ascii="標楷體" w:eastAsia="標楷體" w:hAnsi="標楷體" w:cs="ArialUnicodeMS" w:hint="eastAsia"/>
          <w:b/>
          <w:kern w:val="0"/>
        </w:rPr>
        <w:t>一</w:t>
      </w:r>
      <w:proofErr w:type="gramEnd"/>
      <w:r w:rsidRPr="00AC2EE1">
        <w:rPr>
          <w:rFonts w:ascii="標楷體" w:eastAsia="標楷體" w:hAnsi="標楷體" w:cs="ArialUnicodeMS" w:hint="eastAsia"/>
          <w:b/>
          <w:kern w:val="0"/>
        </w:rPr>
        <w:t>條文」</w:t>
      </w:r>
      <w:smartTag w:uri="urn:schemas-microsoft-com:office:smarttags" w:element="chsdate">
        <w:smartTagPr>
          <w:attr w:name="IsROCDate" w:val="True"/>
          <w:attr w:name="IsLunarDate" w:val="False"/>
          <w:attr w:name="Day" w:val="26"/>
          <w:attr w:name="Month" w:val="1"/>
          <w:attr w:name="Year" w:val="2011"/>
        </w:smartTagPr>
        <w:r w:rsidRPr="00AC2EE1">
          <w:rPr>
            <w:rFonts w:ascii="標楷體" w:eastAsia="標楷體" w:hAnsi="標楷體" w:cs="ArialUnicodeMS" w:hint="eastAsia"/>
            <w:b/>
            <w:kern w:val="0"/>
          </w:rPr>
          <w:t>中華民國</w:t>
        </w:r>
        <w:r w:rsidRPr="00AC2EE1">
          <w:rPr>
            <w:rFonts w:ascii="標楷體" w:eastAsia="標楷體" w:hAnsi="標楷體"/>
            <w:b/>
            <w:kern w:val="0"/>
          </w:rPr>
          <w:t>100</w:t>
        </w:r>
        <w:r w:rsidRPr="00AC2EE1">
          <w:rPr>
            <w:rFonts w:ascii="標楷體" w:eastAsia="標楷體" w:hAnsi="標楷體" w:cs="ArialUnicodeMS" w:hint="eastAsia"/>
            <w:b/>
            <w:kern w:val="0"/>
          </w:rPr>
          <w:t>年</w:t>
        </w:r>
        <w:r w:rsidRPr="00AC2EE1">
          <w:rPr>
            <w:rFonts w:ascii="標楷體" w:eastAsia="標楷體" w:hAnsi="標楷體"/>
            <w:b/>
            <w:kern w:val="0"/>
          </w:rPr>
          <w:t>1</w:t>
        </w:r>
        <w:r w:rsidRPr="00AC2EE1">
          <w:rPr>
            <w:rFonts w:ascii="標楷體" w:eastAsia="標楷體" w:hAnsi="標楷體" w:cs="ArialUnicodeMS" w:hint="eastAsia"/>
            <w:b/>
            <w:kern w:val="0"/>
          </w:rPr>
          <w:t>月</w:t>
        </w:r>
        <w:r w:rsidRPr="00AC2EE1">
          <w:rPr>
            <w:rFonts w:ascii="標楷體" w:eastAsia="標楷體" w:hAnsi="標楷體"/>
            <w:b/>
            <w:kern w:val="0"/>
          </w:rPr>
          <w:t>26</w:t>
        </w:r>
        <w:r w:rsidRPr="00AC2EE1">
          <w:rPr>
            <w:rFonts w:ascii="標楷體" w:eastAsia="標楷體" w:hAnsi="標楷體" w:cs="ArialUnicodeMS" w:hint="eastAsia"/>
            <w:b/>
            <w:kern w:val="0"/>
          </w:rPr>
          <w:t>日</w:t>
        </w:r>
      </w:smartTag>
      <w:r w:rsidRPr="00AC2EE1">
        <w:rPr>
          <w:rFonts w:ascii="標楷體" w:eastAsia="標楷體" w:hAnsi="標楷體" w:cs="ArialUnicodeMS" w:hint="eastAsia"/>
          <w:b/>
          <w:kern w:val="0"/>
        </w:rPr>
        <w:t>華總</w:t>
      </w:r>
      <w:proofErr w:type="gramStart"/>
      <w:r w:rsidRPr="00AC2EE1">
        <w:rPr>
          <w:rFonts w:ascii="標楷體" w:eastAsia="標楷體" w:hAnsi="標楷體" w:cs="ArialUnicodeMS" w:hint="eastAsia"/>
          <w:b/>
          <w:kern w:val="0"/>
        </w:rPr>
        <w:t>一義字第</w:t>
      </w:r>
      <w:r w:rsidRPr="00AC2EE1">
        <w:rPr>
          <w:rFonts w:ascii="標楷體" w:eastAsia="標楷體" w:hAnsi="標楷體"/>
          <w:b/>
          <w:kern w:val="0"/>
        </w:rPr>
        <w:t>10000016621</w:t>
      </w:r>
      <w:proofErr w:type="gramEnd"/>
      <w:r w:rsidRPr="00AC2EE1">
        <w:rPr>
          <w:rFonts w:ascii="標楷體" w:eastAsia="標楷體" w:hAnsi="標楷體"/>
          <w:b/>
          <w:kern w:val="0"/>
        </w:rPr>
        <w:t xml:space="preserve"> </w:t>
      </w:r>
      <w:r w:rsidRPr="00AC2EE1">
        <w:rPr>
          <w:rFonts w:ascii="標楷體" w:eastAsia="標楷體" w:hAnsi="標楷體" w:cs="ArialUnicodeMS" w:hint="eastAsia"/>
          <w:b/>
          <w:kern w:val="0"/>
        </w:rPr>
        <w:t xml:space="preserve">號  </w:t>
      </w:r>
      <w:r w:rsidRPr="00AC2EE1">
        <w:rPr>
          <w:rFonts w:ascii="標楷體" w:eastAsia="標楷體" w:hAnsi="標楷體" w:cs="ArialUnicodeMS"/>
          <w:b/>
          <w:kern w:val="0"/>
        </w:rPr>
        <w:t xml:space="preserve"> </w:t>
      </w:r>
      <w:r w:rsidRPr="00AC2EE1">
        <w:rPr>
          <w:rFonts w:ascii="標楷體" w:eastAsia="標楷體" w:hAnsi="標楷體" w:cs="ArialUnicodeMS" w:hint="eastAsia"/>
          <w:b/>
          <w:kern w:val="0"/>
        </w:rPr>
        <w:t>基於行政中立、維護新聞自由及人民權益，政府各機關暨公營事業、政府捐助基金百分之五十以上成立之財團法人及政府轉投資資本百分之五十以上事業，編列預算辦理政策宣導，應明確標示其為廣告且揭示辦理或贊助機關、單位名稱，並不得以置入性行銷方式進行。</w:t>
      </w:r>
    </w:p>
    <w:p w:rsidR="00D81EA4" w:rsidRPr="00AC2EE1" w:rsidRDefault="00D81EA4" w:rsidP="00D81EA4">
      <w:pPr>
        <w:autoSpaceDE w:val="0"/>
        <w:autoSpaceDN w:val="0"/>
        <w:adjustRightInd w:val="0"/>
        <w:rPr>
          <w:rFonts w:ascii="標楷體" w:eastAsia="標楷體" w:hAnsi="標楷體" w:cs="ArialUnicodeMS" w:hint="eastAsia"/>
          <w:b/>
          <w:kern w:val="0"/>
        </w:rPr>
      </w:pPr>
    </w:p>
    <w:p w:rsidR="00D81EA4" w:rsidRPr="00AC2EE1" w:rsidRDefault="00D81EA4" w:rsidP="00D81EA4">
      <w:pPr>
        <w:rPr>
          <w:rFonts w:ascii="標楷體" w:eastAsia="標楷體" w:hAnsi="標楷體" w:hint="eastAsia"/>
        </w:rPr>
      </w:pPr>
    </w:p>
    <w:p w:rsidR="00D81EA4" w:rsidRPr="00AC2EE1" w:rsidRDefault="00D81EA4" w:rsidP="00D81EA4">
      <w:pPr>
        <w:rPr>
          <w:rFonts w:ascii="標楷體" w:eastAsia="標楷體" w:hAnsi="標楷體" w:hint="eastAsia"/>
        </w:rPr>
      </w:pPr>
    </w:p>
    <w:p w:rsidR="00D81EA4" w:rsidRPr="00AC2EE1" w:rsidRDefault="00D81EA4" w:rsidP="00D81EA4">
      <w:pPr>
        <w:rPr>
          <w:rFonts w:ascii="標楷體" w:eastAsia="標楷體" w:hAnsi="標楷體" w:hint="eastAsia"/>
        </w:rPr>
      </w:pPr>
    </w:p>
    <w:p w:rsidR="00D81EA4" w:rsidRPr="00AC2EE1" w:rsidRDefault="00D81EA4" w:rsidP="00D81EA4">
      <w:pPr>
        <w:ind w:firstLineChars="900" w:firstLine="2160"/>
        <w:rPr>
          <w:rFonts w:ascii="標楷體" w:eastAsia="標楷體" w:hAnsi="標楷體" w:hint="eastAsia"/>
        </w:rPr>
      </w:pPr>
      <w:r w:rsidRPr="00AC2EE1">
        <w:rPr>
          <w:rFonts w:ascii="標楷體" w:eastAsia="標楷體" w:hAnsi="標楷體" w:hint="eastAsia"/>
        </w:rPr>
        <w:t>2012年二月烏龍新聞統計表（附表2）</w:t>
      </w:r>
    </w:p>
    <w:tbl>
      <w:tblPr>
        <w:tblW w:w="5391" w:type="dxa"/>
        <w:tblInd w:w="1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793"/>
        <w:gridCol w:w="2159"/>
        <w:gridCol w:w="1439"/>
      </w:tblGrid>
      <w:tr w:rsidR="00D81EA4" w:rsidRPr="00AC2EE1" w:rsidTr="00CE1ACD">
        <w:tc>
          <w:tcPr>
            <w:tcW w:w="1793" w:type="dxa"/>
          </w:tcPr>
          <w:p w:rsidR="00D81EA4" w:rsidRPr="00AC2EE1" w:rsidRDefault="00D81EA4" w:rsidP="00CE1ACD">
            <w:pPr>
              <w:ind w:firstLineChars="350" w:firstLine="840"/>
              <w:rPr>
                <w:rFonts w:ascii="標楷體" w:eastAsia="標楷體" w:hAnsi="標楷體" w:hint="eastAsia"/>
              </w:rPr>
            </w:pPr>
            <w:r w:rsidRPr="00AC2EE1">
              <w:rPr>
                <w:rFonts w:ascii="標楷體" w:eastAsia="標楷體" w:hAnsi="標楷體" w:hint="eastAsia"/>
                <w:noProof/>
              </w:rPr>
              <w:pict>
                <v:line id="_x0000_s1027" style="position:absolute;left:0;text-align:left;z-index:251661312" from="-6pt,-.25pt" to="84pt,35.75pt"/>
              </w:pict>
            </w:r>
            <w:r w:rsidRPr="00AC2EE1">
              <w:rPr>
                <w:rFonts w:ascii="標楷體" w:eastAsia="標楷體" w:hAnsi="標楷體" w:hint="eastAsia"/>
              </w:rPr>
              <w:t>則數</w:t>
            </w:r>
          </w:p>
          <w:p w:rsidR="00D81EA4" w:rsidRPr="00AC2EE1" w:rsidRDefault="00D81EA4" w:rsidP="00CE1ACD">
            <w:pPr>
              <w:rPr>
                <w:rFonts w:ascii="標楷體" w:eastAsia="標楷體" w:hAnsi="標楷體" w:hint="eastAsia"/>
              </w:rPr>
            </w:pPr>
            <w:r w:rsidRPr="00AC2EE1">
              <w:rPr>
                <w:rFonts w:ascii="標楷體" w:eastAsia="標楷體" w:hAnsi="標楷體" w:hint="eastAsia"/>
              </w:rPr>
              <w:lastRenderedPageBreak/>
              <w:t>報名</w:t>
            </w:r>
          </w:p>
        </w:tc>
        <w:tc>
          <w:tcPr>
            <w:tcW w:w="2159" w:type="dxa"/>
          </w:tcPr>
          <w:p w:rsidR="00D81EA4" w:rsidRPr="00AC2EE1" w:rsidRDefault="00D81EA4" w:rsidP="00CE1ACD">
            <w:pPr>
              <w:ind w:firstLineChars="100" w:firstLine="240"/>
              <w:rPr>
                <w:rFonts w:ascii="標楷體" w:eastAsia="標楷體" w:hAnsi="標楷體" w:hint="eastAsia"/>
              </w:rPr>
            </w:pPr>
            <w:r w:rsidRPr="00AC2EE1">
              <w:rPr>
                <w:rFonts w:ascii="標楷體" w:eastAsia="標楷體" w:hAnsi="標楷體" w:hint="eastAsia"/>
              </w:rPr>
              <w:lastRenderedPageBreak/>
              <w:t>烏龍新聞則數</w:t>
            </w:r>
          </w:p>
        </w:tc>
        <w:tc>
          <w:tcPr>
            <w:tcW w:w="1439"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 xml:space="preserve"> 備  </w:t>
            </w:r>
            <w:proofErr w:type="gramStart"/>
            <w:r w:rsidRPr="00AC2EE1">
              <w:rPr>
                <w:rFonts w:ascii="標楷體" w:eastAsia="標楷體" w:hAnsi="標楷體" w:hint="eastAsia"/>
              </w:rPr>
              <w:t>註</w:t>
            </w:r>
            <w:proofErr w:type="gramEnd"/>
          </w:p>
          <w:p w:rsidR="00D81EA4" w:rsidRPr="00AC2EE1" w:rsidRDefault="00D81EA4" w:rsidP="00CE1ACD">
            <w:pPr>
              <w:rPr>
                <w:rFonts w:ascii="標楷體" w:eastAsia="標楷體" w:hAnsi="標楷體" w:hint="eastAsia"/>
              </w:rPr>
            </w:pPr>
            <w:r w:rsidRPr="00AC2EE1">
              <w:rPr>
                <w:rFonts w:ascii="標楷體" w:eastAsia="標楷體" w:hAnsi="標楷體" w:hint="eastAsia"/>
              </w:rPr>
              <w:lastRenderedPageBreak/>
              <w:t>(有更正者)</w:t>
            </w:r>
          </w:p>
        </w:tc>
      </w:tr>
      <w:tr w:rsidR="00D81EA4" w:rsidRPr="00AC2EE1" w:rsidTr="00CE1ACD">
        <w:tc>
          <w:tcPr>
            <w:tcW w:w="1793"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lastRenderedPageBreak/>
              <w:t>中國時報</w:t>
            </w:r>
          </w:p>
        </w:tc>
        <w:tc>
          <w:tcPr>
            <w:tcW w:w="2159" w:type="dxa"/>
          </w:tcPr>
          <w:p w:rsidR="00D81EA4" w:rsidRPr="00AC2EE1" w:rsidRDefault="00D81EA4" w:rsidP="00CE1ACD">
            <w:pPr>
              <w:ind w:left="600" w:hangingChars="250" w:hanging="600"/>
              <w:rPr>
                <w:rFonts w:ascii="標楷體" w:eastAsia="標楷體" w:hAnsi="標楷體" w:hint="eastAsia"/>
              </w:rPr>
            </w:pPr>
            <w:r w:rsidRPr="00AC2EE1">
              <w:rPr>
                <w:rFonts w:ascii="標楷體" w:eastAsia="標楷體" w:hAnsi="標楷體" w:hint="eastAsia"/>
              </w:rPr>
              <w:t>13（置入3 中國4）</w:t>
            </w:r>
          </w:p>
        </w:tc>
        <w:tc>
          <w:tcPr>
            <w:tcW w:w="1439" w:type="dxa"/>
          </w:tcPr>
          <w:p w:rsidR="00D81EA4" w:rsidRPr="00AC2EE1" w:rsidRDefault="00D81EA4" w:rsidP="00CE1ACD">
            <w:pPr>
              <w:ind w:firstLineChars="150" w:firstLine="360"/>
              <w:rPr>
                <w:rFonts w:ascii="標楷體" w:eastAsia="標楷體" w:hAnsi="標楷體" w:hint="eastAsia"/>
              </w:rPr>
            </w:pPr>
            <w:r w:rsidRPr="00AC2EE1">
              <w:rPr>
                <w:rFonts w:ascii="標楷體" w:eastAsia="標楷體" w:hAnsi="標楷體" w:hint="eastAsia"/>
              </w:rPr>
              <w:t>2</w:t>
            </w:r>
          </w:p>
        </w:tc>
      </w:tr>
      <w:tr w:rsidR="00D81EA4" w:rsidRPr="00AC2EE1" w:rsidTr="00CE1ACD">
        <w:tc>
          <w:tcPr>
            <w:tcW w:w="1793"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蘋果日報</w:t>
            </w:r>
          </w:p>
        </w:tc>
        <w:tc>
          <w:tcPr>
            <w:tcW w:w="2159"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6</w:t>
            </w:r>
          </w:p>
        </w:tc>
        <w:tc>
          <w:tcPr>
            <w:tcW w:w="1439" w:type="dxa"/>
          </w:tcPr>
          <w:p w:rsidR="00D81EA4" w:rsidRPr="00AC2EE1" w:rsidRDefault="00D81EA4" w:rsidP="00CE1ACD">
            <w:pPr>
              <w:ind w:firstLineChars="150" w:firstLine="360"/>
              <w:rPr>
                <w:rFonts w:ascii="標楷體" w:eastAsia="標楷體" w:hAnsi="標楷體" w:hint="eastAsia"/>
              </w:rPr>
            </w:pPr>
            <w:r w:rsidRPr="00AC2EE1">
              <w:rPr>
                <w:rFonts w:ascii="標楷體" w:eastAsia="標楷體" w:hAnsi="標楷體" w:hint="eastAsia"/>
              </w:rPr>
              <w:t>4</w:t>
            </w:r>
          </w:p>
        </w:tc>
      </w:tr>
      <w:tr w:rsidR="00D81EA4" w:rsidRPr="00AC2EE1" w:rsidTr="00CE1ACD">
        <w:tc>
          <w:tcPr>
            <w:tcW w:w="1793"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聯合報</w:t>
            </w:r>
          </w:p>
        </w:tc>
        <w:tc>
          <w:tcPr>
            <w:tcW w:w="2159"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5</w:t>
            </w:r>
          </w:p>
        </w:tc>
        <w:tc>
          <w:tcPr>
            <w:tcW w:w="1439" w:type="dxa"/>
          </w:tcPr>
          <w:p w:rsidR="00D81EA4" w:rsidRPr="00AC2EE1" w:rsidRDefault="00D81EA4" w:rsidP="00CE1ACD">
            <w:pPr>
              <w:ind w:firstLineChars="150" w:firstLine="360"/>
              <w:rPr>
                <w:rFonts w:ascii="標楷體" w:eastAsia="標楷體" w:hAnsi="標楷體" w:hint="eastAsia"/>
              </w:rPr>
            </w:pPr>
            <w:r w:rsidRPr="00AC2EE1">
              <w:rPr>
                <w:rFonts w:ascii="標楷體" w:eastAsia="標楷體" w:hAnsi="標楷體" w:hint="eastAsia"/>
              </w:rPr>
              <w:t>1</w:t>
            </w:r>
          </w:p>
        </w:tc>
      </w:tr>
      <w:tr w:rsidR="00D81EA4" w:rsidRPr="00AC2EE1" w:rsidTr="00CE1ACD">
        <w:tc>
          <w:tcPr>
            <w:tcW w:w="1793"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聯合晚報</w:t>
            </w:r>
          </w:p>
        </w:tc>
        <w:tc>
          <w:tcPr>
            <w:tcW w:w="2159"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2（       中國1）</w:t>
            </w:r>
          </w:p>
        </w:tc>
        <w:tc>
          <w:tcPr>
            <w:tcW w:w="1439" w:type="dxa"/>
          </w:tcPr>
          <w:p w:rsidR="00D81EA4" w:rsidRPr="00AC2EE1" w:rsidRDefault="00D81EA4" w:rsidP="00CE1ACD">
            <w:pPr>
              <w:ind w:firstLineChars="150" w:firstLine="360"/>
              <w:rPr>
                <w:rFonts w:ascii="標楷體" w:eastAsia="標楷體" w:hAnsi="標楷體" w:hint="eastAsia"/>
              </w:rPr>
            </w:pPr>
            <w:r w:rsidRPr="00AC2EE1">
              <w:rPr>
                <w:rFonts w:ascii="標楷體" w:eastAsia="標楷體" w:hAnsi="標楷體" w:hint="eastAsia"/>
              </w:rPr>
              <w:t>0</w:t>
            </w:r>
          </w:p>
        </w:tc>
      </w:tr>
      <w:tr w:rsidR="00D81EA4" w:rsidRPr="00AC2EE1" w:rsidTr="00CE1ACD">
        <w:tc>
          <w:tcPr>
            <w:tcW w:w="1793"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自由時報</w:t>
            </w:r>
          </w:p>
        </w:tc>
        <w:tc>
          <w:tcPr>
            <w:tcW w:w="2159"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1</w:t>
            </w:r>
          </w:p>
        </w:tc>
        <w:tc>
          <w:tcPr>
            <w:tcW w:w="1439" w:type="dxa"/>
          </w:tcPr>
          <w:p w:rsidR="00D81EA4" w:rsidRPr="00AC2EE1" w:rsidRDefault="00D81EA4" w:rsidP="00CE1ACD">
            <w:pPr>
              <w:ind w:firstLineChars="150" w:firstLine="360"/>
              <w:rPr>
                <w:rFonts w:ascii="標楷體" w:eastAsia="標楷體" w:hAnsi="標楷體" w:hint="eastAsia"/>
              </w:rPr>
            </w:pPr>
            <w:r w:rsidRPr="00AC2EE1">
              <w:rPr>
                <w:rFonts w:ascii="標楷體" w:eastAsia="標楷體" w:hAnsi="標楷體" w:hint="eastAsia"/>
              </w:rPr>
              <w:t>0</w:t>
            </w:r>
          </w:p>
        </w:tc>
      </w:tr>
      <w:tr w:rsidR="00D81EA4" w:rsidRPr="00AC2EE1" w:rsidTr="00CE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3"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合計</w:t>
            </w:r>
          </w:p>
        </w:tc>
        <w:tc>
          <w:tcPr>
            <w:tcW w:w="2159" w:type="dxa"/>
          </w:tcPr>
          <w:p w:rsidR="00D81EA4" w:rsidRPr="00AC2EE1" w:rsidRDefault="00D81EA4" w:rsidP="00CE1ACD">
            <w:pPr>
              <w:rPr>
                <w:rFonts w:ascii="標楷體" w:eastAsia="標楷體" w:hAnsi="標楷體" w:hint="eastAsia"/>
              </w:rPr>
            </w:pPr>
            <w:r w:rsidRPr="00AC2EE1">
              <w:rPr>
                <w:rFonts w:ascii="標楷體" w:eastAsia="標楷體" w:hAnsi="標楷體" w:hint="eastAsia"/>
              </w:rPr>
              <w:t>27（置入3 中國5）</w:t>
            </w:r>
          </w:p>
        </w:tc>
        <w:tc>
          <w:tcPr>
            <w:tcW w:w="1439" w:type="dxa"/>
          </w:tcPr>
          <w:p w:rsidR="00D81EA4" w:rsidRPr="00AC2EE1" w:rsidRDefault="00D81EA4" w:rsidP="00CE1ACD">
            <w:pPr>
              <w:ind w:firstLineChars="150" w:firstLine="360"/>
              <w:rPr>
                <w:rFonts w:ascii="標楷體" w:eastAsia="標楷體" w:hAnsi="標楷體" w:hint="eastAsia"/>
              </w:rPr>
            </w:pPr>
            <w:r w:rsidRPr="00AC2EE1">
              <w:rPr>
                <w:rFonts w:ascii="標楷體" w:eastAsia="標楷體" w:hAnsi="標楷體" w:hint="eastAsia"/>
              </w:rPr>
              <w:t>7</w:t>
            </w:r>
          </w:p>
        </w:tc>
      </w:tr>
    </w:tbl>
    <w:p w:rsidR="00D81EA4" w:rsidRPr="00AC2EE1" w:rsidRDefault="00D81EA4" w:rsidP="00D81EA4">
      <w:pPr>
        <w:rPr>
          <w:rFonts w:ascii="標楷體" w:eastAsia="標楷體" w:hAnsi="標楷體" w:hint="eastAsia"/>
        </w:rPr>
      </w:pPr>
    </w:p>
    <w:p w:rsidR="00D81EA4" w:rsidRDefault="00D81EA4" w:rsidP="00D81EA4">
      <w:pPr>
        <w:autoSpaceDE w:val="0"/>
        <w:autoSpaceDN w:val="0"/>
        <w:adjustRightInd w:val="0"/>
        <w:rPr>
          <w:rFonts w:ascii="標楷體" w:eastAsia="標楷體" w:hAnsi="標楷體" w:hint="eastAsia"/>
        </w:rPr>
      </w:pPr>
    </w:p>
    <w:p w:rsidR="00D81EA4" w:rsidRDefault="00D81EA4" w:rsidP="00D81EA4">
      <w:pPr>
        <w:autoSpaceDE w:val="0"/>
        <w:autoSpaceDN w:val="0"/>
        <w:adjustRightInd w:val="0"/>
        <w:rPr>
          <w:rFonts w:ascii="標楷體" w:eastAsia="標楷體" w:hAnsi="標楷體" w:hint="eastAsia"/>
        </w:rPr>
      </w:pPr>
    </w:p>
    <w:p w:rsidR="00D81EA4" w:rsidRDefault="00D81EA4" w:rsidP="00D81EA4">
      <w:pPr>
        <w:autoSpaceDE w:val="0"/>
        <w:autoSpaceDN w:val="0"/>
        <w:adjustRightInd w:val="0"/>
        <w:rPr>
          <w:rFonts w:ascii="標楷體" w:eastAsia="標楷體" w:hAnsi="標楷體" w:hint="eastAsia"/>
        </w:rPr>
      </w:pPr>
      <w:r>
        <w:rPr>
          <w:rFonts w:ascii="標楷體" w:eastAsia="標楷體" w:hAnsi="標楷體" w:hint="eastAsia"/>
        </w:rPr>
        <w:t>※二月各主要報紙的「烏龍新聞」評比（含未註明政府機構、置入性新聞、中國廣告做置入計算），依序為：中國時報13則（含置入3則、中國4則、更正2則）、蘋果日報6則（含更正4則）、聯合報5則（含更正1則）、聯合晚報2則（含中國1則）、自由時報1則。合計27則，刊「更正」者7則。</w:t>
      </w:r>
    </w:p>
    <w:p w:rsidR="00D81EA4" w:rsidRDefault="00D81EA4" w:rsidP="00D81EA4">
      <w:pPr>
        <w:autoSpaceDE w:val="0"/>
        <w:autoSpaceDN w:val="0"/>
        <w:adjustRightInd w:val="0"/>
        <w:rPr>
          <w:rFonts w:ascii="標楷體" w:eastAsia="標楷體" w:hAnsi="標楷體" w:hint="eastAsia"/>
        </w:rPr>
      </w:pPr>
      <w:r>
        <w:rPr>
          <w:rFonts w:ascii="標楷體" w:eastAsia="標楷體" w:hAnsi="標楷體" w:hint="eastAsia"/>
        </w:rPr>
        <w:t>※二月違反新聞倫理道德規範的示意圖和照片，依序為：自由時報14則（含自殺14則）、中國時報11則（含自殺9則）、聯合報5則（含自殺4則）、蘋果日報5則（含自殺4則）。合計35則（含自殺31則）。</w:t>
      </w:r>
    </w:p>
    <w:p w:rsidR="00E9229D" w:rsidRDefault="00E9229D"/>
    <w:sectPr w:rsidR="00E9229D" w:rsidSect="00E9229D">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UnicodeMS">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1EA4"/>
    <w:rsid w:val="00A653B5"/>
    <w:rsid w:val="00D81EA4"/>
    <w:rsid w:val="00E9229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EA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861</Characters>
  <Application>Microsoft Office Word</Application>
  <DocSecurity>0</DocSecurity>
  <Lines>7</Lines>
  <Paragraphs>2</Paragraphs>
  <ScaleCrop>false</ScaleCrop>
  <Company>TAIWAN</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dc:creator>
  <cp:keywords/>
  <dc:description/>
  <cp:lastModifiedBy>PHD</cp:lastModifiedBy>
  <cp:revision>1</cp:revision>
  <dcterms:created xsi:type="dcterms:W3CDTF">2012-04-05T04:14:00Z</dcterms:created>
  <dcterms:modified xsi:type="dcterms:W3CDTF">2012-04-05T04:15:00Z</dcterms:modified>
</cp:coreProperties>
</file>